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lang w:val="en-US"/>
        </w:rPr>
      </w:pPr>
      <w:r>
        <w:rPr>
          <w:lang w:val="en-US"/>
        </w:rPr>
        <w:t>Fellow [7</w:t>
      </w:r>
      <w:bookmarkStart w:id="0" w:name="_GoBack"/>
      <w:bookmarkEnd w:id="0"/>
      <w:r>
        <w:rPr>
          <w:lang w:val="en-US"/>
        </w:rPr>
        <w:t>]</w:t>
      </w:r>
    </w:p>
    <w:p>
      <w:pPr>
        <w:pStyle w:val="Heading2"/>
        <w:spacing w:before="0" w:after="160"/>
        <w:rPr>
          <w:lang w:val="en-US"/>
        </w:rPr>
      </w:pPr>
      <w:r>
        <w:rPr>
          <w:lang w:val="nl-NL"/>
        </w:rPr>
        <w:t>Title</w:t>
      </w:r>
      <w:r>
        <w:rPr>
          <w:lang w:val="en-US"/>
        </w:rPr>
        <w:t xml:space="preserve"> </w:t>
      </w:r>
    </w:p>
    <w:p>
      <w:pPr>
        <w:pStyle w:val="Normal"/>
        <w:spacing w:lineRule="auto" w:line="240"/>
        <w:rPr>
          <w:lang w:val="nl-NL"/>
        </w:rPr>
      </w:pPr>
      <w:r>
        <w:rPr>
          <w:lang w:val="nl-NL"/>
        </w:rPr>
        <w:t>PhD position | MSCA Doctoral Network | Innovative trustworthy tools for increasing society’s political participation</w:t>
      </w:r>
    </w:p>
    <w:p>
      <w:pPr>
        <w:pStyle w:val="Heading2"/>
        <w:rPr/>
      </w:pPr>
      <w:r>
        <w:rPr>
          <w:lang w:val="nl-NL"/>
        </w:rPr>
        <w:t>About the Project</w:t>
      </w:r>
    </w:p>
    <w:p>
      <w:pPr>
        <w:pStyle w:val="Normal"/>
        <w:rPr>
          <w:b/>
          <w:lang w:val="nl-NL"/>
        </w:rPr>
      </w:pPr>
      <w:r>
        <w:rPr>
          <w:b/>
          <w:bCs/>
          <w:lang w:val="nl-NL"/>
        </w:rPr>
        <w:t>About Data2Action</w:t>
      </w:r>
    </w:p>
    <w:p>
      <w:pPr>
        <w:pStyle w:val="Normal"/>
        <w:rPr>
          <w:b/>
          <w:lang w:val="nl-NL"/>
        </w:rPr>
      </w:pPr>
      <w:r>
        <w:rPr>
          <w:b/>
          <w:lang w:val="nl-NL"/>
        </w:rPr>
      </w:r>
    </w:p>
    <w:p>
      <w:pPr>
        <w:pStyle w:val="Normal"/>
        <w:spacing w:lineRule="auto" w:line="240"/>
        <w:jc w:val="both"/>
        <w:rPr/>
      </w:pPr>
      <w:r>
        <w:rPr>
          <w:i/>
          <w:iCs/>
        </w:rPr>
        <w:t>Data2Action</w:t>
      </w:r>
      <w:r>
        <w:rPr/>
        <w:t> is a Marie Skłodowska-Curie European Doctoral Training Network uniting social innovation with data science &amp; AI to co-create a healthier, fairer and more sustainable world for all. In practical terms, it is a network of 5 academic partners where 13 PhD students will work towards their degrees on topics related to data science for social innovation. The network also involves 25 associated partners – NGOs, research organizations and companies – with whom the students will be able to engage.</w:t>
      </w:r>
    </w:p>
    <w:p>
      <w:pPr>
        <w:pStyle w:val="Normal"/>
        <w:spacing w:lineRule="auto" w:line="240"/>
        <w:jc w:val="both"/>
        <w:rPr/>
      </w:pPr>
      <w:r>
        <w:rPr/>
      </w:r>
    </w:p>
    <w:p>
      <w:pPr>
        <w:pStyle w:val="Normal"/>
        <w:spacing w:lineRule="auto" w:line="240"/>
        <w:rPr>
          <w:rFonts w:ascii="Calibri" w:hAnsi="Calibri" w:cs="Calibri" w:asciiTheme="minorHAnsi" w:cstheme="minorHAnsi" w:hAnsiTheme="minorHAnsi"/>
        </w:rPr>
      </w:pPr>
      <w:r>
        <w:rPr>
          <w:rFonts w:eastAsia="Times New Roman" w:cs="Calibri" w:cstheme="minorHAnsi"/>
          <w:b w:val="false"/>
          <w:bCs w:val="false"/>
          <w:i w:val="false"/>
          <w:iCs w:val="false"/>
          <w:sz w:val="24"/>
          <w:szCs w:val="24"/>
          <w:lang w:val="en-GB"/>
        </w:rPr>
        <w:t xml:space="preserve">Read more about Data2Action </w:t>
      </w:r>
      <w:hyperlink r:id="rId2">
        <w:r>
          <w:rPr>
            <w:rStyle w:val="Hyperlink"/>
            <w:rFonts w:eastAsia="Times New Roman" w:cs="Calibri" w:cstheme="minorHAnsi"/>
            <w:b w:val="false"/>
            <w:bCs w:val="false"/>
            <w:i w:val="false"/>
            <w:iCs w:val="false"/>
            <w:sz w:val="24"/>
            <w:szCs w:val="24"/>
            <w:lang w:val="en-GB"/>
          </w:rPr>
          <w:t>here</w:t>
        </w:r>
      </w:hyperlink>
      <w:r>
        <w:rPr>
          <w:rFonts w:eastAsia="Times New Roman" w:cs="Calibri" w:cstheme="minorHAnsi"/>
          <w:b w:val="false"/>
          <w:bCs w:val="false"/>
          <w:i w:val="false"/>
          <w:iCs w:val="false"/>
          <w:sz w:val="24"/>
          <w:szCs w:val="24"/>
          <w:lang w:val="en-GB"/>
        </w:rPr>
        <w:t>.</w:t>
      </w:r>
    </w:p>
    <w:p>
      <w:pPr>
        <w:pStyle w:val="Normal"/>
        <w:spacing w:lineRule="auto" w:line="240"/>
        <w:rPr>
          <w:rFonts w:ascii="Calibri" w:hAnsi="Calibri" w:cs="Calibri" w:asciiTheme="minorHAnsi" w:cstheme="minorHAnsi" w:hAnsiTheme="minorHAnsi"/>
        </w:rPr>
      </w:pPr>
      <w:r>
        <w:rPr>
          <w:rFonts w:cs="Calibri" w:cstheme="minorHAnsi"/>
        </w:rPr>
      </w:r>
    </w:p>
    <w:p>
      <w:pPr>
        <w:pStyle w:val="Normal"/>
        <w:rPr>
          <w:b/>
        </w:rPr>
      </w:pPr>
      <w:r>
        <w:rPr>
          <w:b/>
        </w:rPr>
        <w:t>Doctoral candidate research project</w:t>
      </w:r>
    </w:p>
    <w:p>
      <w:pPr>
        <w:pStyle w:val="Normal"/>
        <w:rPr>
          <w:b/>
        </w:rPr>
      </w:pPr>
      <w:r>
        <w:rPr>
          <w:b/>
        </w:rPr>
      </w:r>
    </w:p>
    <w:p>
      <w:pPr>
        <w:pStyle w:val="Normal"/>
        <w:jc w:val="both"/>
        <w:rPr>
          <w:lang w:val="en-GB"/>
        </w:rPr>
      </w:pPr>
      <w:r>
        <w:rPr>
          <w:lang w:val="en-GB"/>
        </w:rPr>
        <w:t xml:space="preserve">The main objective of the research project of the doctoral candidate is to develop AI-driven tools designed to support political participation and democratic engagement through enhanced transparency and accessibility of political information. The goal is to use data such as parliamentary sessions, voting records, and legislative documents to answer users’ questions about members of parliament and their parties. These include straightforward factual responses (e.g., voting positions of members of parliament on legislation on specific topic) and more complex analytical responses (e.g., summaries of parties’ arguments and positions). </w:t>
      </w:r>
    </w:p>
    <w:p>
      <w:pPr>
        <w:pStyle w:val="Normal"/>
        <w:jc w:val="both"/>
        <w:rPr>
          <w:lang w:val="en-GB"/>
        </w:rPr>
      </w:pPr>
      <w:r>
        <w:rPr>
          <w:lang w:val="en-GB"/>
        </w:rPr>
      </w:r>
    </w:p>
    <w:p>
      <w:pPr>
        <w:pStyle w:val="Normal"/>
        <w:rPr/>
      </w:pPr>
      <w:r>
        <w:rPr>
          <w:lang w:val="en-GB"/>
        </w:rPr>
        <w:t>To achieve this, you are expected to:</w:t>
      </w:r>
    </w:p>
    <w:p>
      <w:pPr>
        <w:pStyle w:val="Normal"/>
        <w:rPr/>
      </w:pPr>
      <w:r>
        <w:rPr>
          <w:lang w:val="en-GB"/>
        </w:rPr>
        <w:t xml:space="preserve"> </w:t>
      </w:r>
    </w:p>
    <w:p>
      <w:pPr>
        <w:pStyle w:val="Normal"/>
        <w:rPr/>
      </w:pPr>
      <w:r>
        <w:rPr/>
        <w:t xml:space="preserve">1) Identify key questions citizens and organizations frequently have about parliamentary actions and legislative processes. This will be done in close collaboration with a non-governmental organisation </w:t>
      </w:r>
      <w:hyperlink r:id="rId3">
        <w:r>
          <w:rPr>
            <w:rStyle w:val="Hyperlink"/>
          </w:rPr>
          <w:t>Danes je nov dan</w:t>
        </w:r>
      </w:hyperlink>
      <w:r>
        <w:rPr/>
        <w:t xml:space="preserve"> (DJND) and other partners of the consortium.</w:t>
      </w:r>
    </w:p>
    <w:p>
      <w:pPr>
        <w:pStyle w:val="Normal"/>
        <w:rPr/>
      </w:pPr>
      <w:r>
        <w:rPr/>
      </w:r>
    </w:p>
    <w:p>
      <w:pPr>
        <w:pStyle w:val="Normal"/>
        <w:rPr/>
      </w:pPr>
      <w:r>
        <w:rPr/>
        <w:t xml:space="preserve">2) Use existing data extracted from transcripts of the transcripts of the Slovenian, Croatian, Bosnian parliamentary sessions, or any other parliaments available in the </w:t>
      </w:r>
      <w:hyperlink r:id="rId4">
        <w:r>
          <w:rPr>
            <w:rStyle w:val="Hyperlink"/>
          </w:rPr>
          <w:t>ParlaMint project</w:t>
        </w:r>
      </w:hyperlink>
      <w:r>
        <w:rPr/>
        <w:t xml:space="preserve"> to train and evaluate AI models (e.g., embeddings, transformers) that can automatically generate responses to user queries.</w:t>
      </w:r>
    </w:p>
    <w:p>
      <w:pPr>
        <w:pStyle w:val="Normal"/>
        <w:rPr/>
      </w:pPr>
      <w:r>
        <w:rPr/>
      </w:r>
    </w:p>
    <w:p>
      <w:pPr>
        <w:pStyle w:val="Normal"/>
        <w:rPr/>
      </w:pPr>
      <w:r>
        <w:rPr/>
        <w:t>3) Engage stakeholders through interviews, informal debates, and focus groups to ensure the AI tools developed are trustworthy, understandable, and aligned with users’ needs and expectations. This will also include implementing and testing techniques for AI explainability and bias reduction using tools such as IBM’s AIF360 library, ensuring transparency in how information is produced and presented.</w:t>
      </w:r>
    </w:p>
    <w:p>
      <w:pPr>
        <w:pStyle w:val="Normal"/>
        <w:rPr/>
      </w:pPr>
      <w:r>
        <w:rPr/>
      </w:r>
    </w:p>
    <w:p>
      <w:pPr>
        <w:pStyle w:val="Normal"/>
        <w:rPr/>
      </w:pPr>
      <w:r>
        <w:rPr/>
        <w:t xml:space="preserve">4) </w:t>
      </w:r>
      <w:r>
        <w:rPr>
          <w:rFonts w:eastAsia="Calibri" w:cs="Calibri"/>
          <w:sz w:val="24"/>
          <w:szCs w:val="24"/>
          <w:lang w:val="en-GB"/>
        </w:rPr>
        <w:t>Develop practical guidelines and methodological recommendations for building AI systems aimed at enhancing political participation in a trusted, socially responsible manner.</w:t>
      </w:r>
    </w:p>
    <w:p>
      <w:pPr>
        <w:pStyle w:val="Normal"/>
        <w:rPr>
          <w:rFonts w:ascii="Calibri" w:hAnsi="Calibri" w:eastAsia="Calibri" w:cs="Calibri"/>
          <w:sz w:val="24"/>
          <w:szCs w:val="24"/>
          <w:lang w:val="en-US"/>
        </w:rPr>
      </w:pPr>
      <w:r>
        <w:rPr>
          <w:rFonts w:eastAsia="Calibri" w:cs="Calibri"/>
          <w:sz w:val="24"/>
          <w:szCs w:val="24"/>
          <w:lang w:val="en-US"/>
        </w:rPr>
        <w:t xml:space="preserve">You will complete two secondments at partner organizations. You are planned to work at DJND to learn about their tool, Parlameter, the data they have collected, and their possible use, and at </w:t>
      </w:r>
      <w:hyperlink r:id="rId5">
        <w:r>
          <w:rPr>
            <w:rStyle w:val="Hyperlink"/>
            <w:rFonts w:eastAsia="Calibri" w:cs="Calibri"/>
            <w:sz w:val="24"/>
            <w:szCs w:val="24"/>
            <w:lang w:val="en-US"/>
          </w:rPr>
          <w:t>Università della Svizzera italiana</w:t>
        </w:r>
      </w:hyperlink>
      <w:r>
        <w:rPr>
          <w:rFonts w:eastAsia="Calibri" w:cs="Calibri"/>
          <w:sz w:val="24"/>
          <w:szCs w:val="24"/>
          <w:lang w:val="en-US"/>
        </w:rPr>
        <w:t xml:space="preserve"> (USI) to deepen expertise on explainability and trustworthy AI. However, the secondments can be adjusted to their needs.</w:t>
      </w:r>
    </w:p>
    <w:p>
      <w:pPr>
        <w:pStyle w:val="Normal"/>
        <w:rPr/>
      </w:pPr>
      <w:r>
        <w:rPr/>
      </w:r>
    </w:p>
    <w:p>
      <w:pPr>
        <w:pStyle w:val="Normal"/>
        <w:rPr/>
      </w:pPr>
      <w:r>
        <w:rPr/>
        <w:t>You will also be expected to:</w:t>
      </w:r>
    </w:p>
    <w:p>
      <w:pPr>
        <w:pStyle w:val="Normal"/>
        <w:numPr>
          <w:ilvl w:val="0"/>
          <w:numId w:val="2"/>
        </w:numPr>
        <w:rPr>
          <w:lang w:val="en-GB"/>
        </w:rPr>
      </w:pPr>
      <w:r>
        <w:rPr>
          <w:lang w:val="en-GB"/>
        </w:rPr>
        <w:t>Report on findings by publishing scientific articles, resulting in a PhD dissertation;</w:t>
      </w:r>
    </w:p>
    <w:p>
      <w:pPr>
        <w:pStyle w:val="Normal"/>
        <w:numPr>
          <w:ilvl w:val="0"/>
          <w:numId w:val="2"/>
        </w:numPr>
        <w:rPr>
          <w:lang w:val="en-GB"/>
        </w:rPr>
      </w:pPr>
      <w:r>
        <w:rPr>
          <w:lang w:val="en-GB"/>
        </w:rPr>
        <w:t>Present findings at (inter)national meetings/conferences;</w:t>
      </w:r>
    </w:p>
    <w:p>
      <w:pPr>
        <w:pStyle w:val="Normal"/>
        <w:numPr>
          <w:ilvl w:val="0"/>
          <w:numId w:val="2"/>
        </w:numPr>
        <w:rPr/>
      </w:pPr>
      <w:r>
        <w:rPr/>
        <w:t>Contribute to the wider work of the Data2Action project;</w:t>
      </w:r>
    </w:p>
    <w:p>
      <w:pPr>
        <w:pStyle w:val="Normal"/>
        <w:numPr>
          <w:ilvl w:val="0"/>
          <w:numId w:val="2"/>
        </w:numPr>
        <w:rPr/>
      </w:pPr>
      <w:r>
        <w:rPr/>
        <w:t>Contribute to educational activities of the department and within the consortium.</w:t>
      </w:r>
    </w:p>
    <w:p>
      <w:pPr>
        <w:pStyle w:val="Normal"/>
        <w:rPr>
          <w:b/>
          <w:bCs/>
          <w:lang w:val="nl-NL"/>
        </w:rPr>
      </w:pPr>
      <w:r>
        <w:rPr>
          <w:b/>
          <w:bCs/>
          <w:lang w:val="nl-NL"/>
        </w:rPr>
      </w:r>
    </w:p>
    <w:p>
      <w:pPr>
        <w:pStyle w:val="Normal"/>
        <w:rPr>
          <w:b/>
          <w:bCs/>
          <w:lang w:val="nl-NL"/>
        </w:rPr>
      </w:pPr>
      <w:r>
        <w:rPr>
          <w:b/>
          <w:bCs/>
          <w:lang w:val="nl-NL"/>
        </w:rPr>
      </w:r>
    </w:p>
    <w:p>
      <w:pPr>
        <w:pStyle w:val="Normal"/>
        <w:spacing w:lineRule="auto" w:line="240"/>
        <w:rPr>
          <w:b/>
          <w:bCs/>
        </w:rPr>
      </w:pPr>
      <w:r>
        <w:rPr>
          <w:b/>
          <w:bCs/>
        </w:rPr>
        <w:t>We offer</w:t>
      </w:r>
    </w:p>
    <w:p>
      <w:pPr>
        <w:pStyle w:val="Normal"/>
        <w:spacing w:lineRule="auto" w:line="240"/>
        <w:rPr>
          <w:b/>
          <w:bCs/>
        </w:rPr>
      </w:pPr>
      <w:r>
        <w:rPr/>
      </w:r>
    </w:p>
    <w:p>
      <w:pPr>
        <w:pStyle w:val="Normal"/>
        <w:spacing w:lineRule="auto" w:line="240"/>
        <w:rPr/>
      </w:pPr>
      <w:r>
        <w:rPr/>
        <w:t xml:space="preserve">The MSCA programme offers competitive and attractive working conditions. </w:t>
      </w:r>
      <w:r>
        <w:rPr>
          <w:rFonts w:eastAsia="Calibri" w:cs="Calibri"/>
          <w:szCs w:val="24"/>
        </w:rPr>
        <w:t xml:space="preserve">You will have an employment contract with </w:t>
      </w:r>
      <w:hyperlink r:id="rId6">
        <w:r>
          <w:rPr>
            <w:rStyle w:val="Hyperlink"/>
            <w:rFonts w:eastAsia="Calibri" w:cs="Calibri"/>
            <w:szCs w:val="24"/>
          </w:rPr>
          <w:t>Jožef Stefan Institute</w:t>
        </w:r>
      </w:hyperlink>
      <w:r>
        <w:rPr>
          <w:rFonts w:eastAsia="Calibri" w:cs="Calibri"/>
          <w:szCs w:val="24"/>
        </w:rPr>
        <w:t xml:space="preserve">, Slovenia's leading scientific research institution, and enrol into a PhD programme at </w:t>
      </w:r>
      <w:hyperlink r:id="rId7">
        <w:r>
          <w:rPr>
            <w:rStyle w:val="Hyperlink"/>
            <w:rFonts w:eastAsia="Calibri" w:cs="Calibri"/>
            <w:szCs w:val="24"/>
          </w:rPr>
          <w:t>Jožef Stefan International Postgraduate School</w:t>
        </w:r>
      </w:hyperlink>
      <w:r>
        <w:rPr>
          <w:rFonts w:eastAsia="Calibri" w:cs="Calibri"/>
          <w:szCs w:val="24"/>
        </w:rPr>
        <w:t>.</w:t>
      </w:r>
      <w:r>
        <w:rPr/>
        <w:t xml:space="preserve"> You will benefit from a competitive salary, annual leave, social security coverage. The salary will be composed of:</w:t>
      </w:r>
    </w:p>
    <w:p>
      <w:pPr>
        <w:pStyle w:val="ListParagraph"/>
        <w:numPr>
          <w:ilvl w:val="0"/>
          <w:numId w:val="1"/>
        </w:numPr>
        <w:spacing w:lineRule="auto" w:line="240"/>
        <w:rPr/>
      </w:pPr>
      <w:r>
        <w:rPr/>
        <w:t xml:space="preserve">A living allowance (3400 EUR </w:t>
      </w:r>
      <w:r>
        <w:rPr/>
        <w:t xml:space="preserve">per </w:t>
      </w:r>
      <w:r>
        <w:rPr/>
        <w:t xml:space="preserve">month – gross salary) which is adjusted by applying a country correction coefficient to the living allowance of the country in which the researcher is recruited. The country correction coefficients are indicated in </w:t>
      </w:r>
      <w:hyperlink r:id="rId8">
        <w:r>
          <w:rPr>
            <w:rStyle w:val="Hyperlink"/>
          </w:rPr>
          <w:t>Table 1 of the MSCA Work Programme</w:t>
        </w:r>
      </w:hyperlink>
    </w:p>
    <w:p>
      <w:pPr>
        <w:pStyle w:val="ListParagraph"/>
        <w:numPr>
          <w:ilvl w:val="0"/>
          <w:numId w:val="1"/>
        </w:numPr>
        <w:spacing w:lineRule="auto" w:line="240"/>
        <w:rPr/>
      </w:pPr>
      <w:r>
        <w:rPr/>
        <w:t>Monthly mobility allowance: An additiona</w:t>
      </w:r>
      <w:r>
        <w:rPr/>
        <w:t>l</w:t>
      </w:r>
      <w:r>
        <w:rPr/>
        <w:t xml:space="preserve"> 600 EUR/month </w:t>
      </w:r>
      <w:r>
        <w:rPr/>
        <w:t>to cover travel expenses.</w:t>
      </w:r>
    </w:p>
    <w:p>
      <w:pPr>
        <w:pStyle w:val="ListParagraph"/>
        <w:numPr>
          <w:ilvl w:val="0"/>
          <w:numId w:val="1"/>
        </w:numPr>
        <w:spacing w:lineRule="auto" w:line="240"/>
        <w:rPr/>
      </w:pPr>
      <w:r>
        <w:rPr/>
        <w:t xml:space="preserve">Monthly family allowance, if applicable and depending on the family situation: 660 euro </w:t>
      </w:r>
      <w:r>
        <w:rPr/>
        <w:t xml:space="preserve">per </w:t>
      </w:r>
      <w:r>
        <w:rPr/>
        <w:t>month</w:t>
      </w:r>
    </w:p>
    <w:p>
      <w:pPr>
        <w:pStyle w:val="Normal"/>
        <w:spacing w:lineRule="auto" w:line="240"/>
        <w:rPr/>
      </w:pPr>
      <w:r>
        <w:rPr/>
        <w:t xml:space="preserve">For additional information see </w:t>
      </w:r>
      <w:hyperlink r:id="rId9">
        <w:r>
          <w:rPr>
            <w:rStyle w:val="Hyperlink"/>
          </w:rPr>
          <w:t>EU MSCA website</w:t>
        </w:r>
      </w:hyperlink>
      <w:r>
        <w:rPr/>
        <w:t>. Please be aware that these amounts are subject to taxes and the exact salary will be confirmed upon appointment.</w:t>
      </w:r>
    </w:p>
    <w:p>
      <w:pPr>
        <w:pStyle w:val="Normal"/>
        <w:spacing w:lineRule="auto" w:line="240"/>
        <w:rPr/>
      </w:pPr>
      <w:r>
        <w:rPr/>
        <w:t xml:space="preserve">At Jožef Stefan Institute you will work in a department conducting applied research on AI. </w:t>
      </w:r>
      <w:r>
        <w:rPr/>
        <w:t>You can expect:</w:t>
      </w:r>
    </w:p>
    <w:p>
      <w:pPr>
        <w:pStyle w:val="Normal"/>
        <w:numPr>
          <w:ilvl w:val="0"/>
          <w:numId w:val="5"/>
        </w:numPr>
        <w:spacing w:lineRule="auto" w:line="240"/>
        <w:rPr/>
      </w:pPr>
      <w:r>
        <w:rPr/>
        <w:t xml:space="preserve">Access to Premier Research Infrastructure: The Institute </w:t>
      </w:r>
      <w:r>
        <w:rPr/>
        <w:t xml:space="preserve">boasts state-of-the-art facilities, including advanced AI laboratories and high-performance computing resources, providing an environment conducive to ground-breaking research. </w:t>
      </w:r>
    </w:p>
    <w:p>
      <w:pPr>
        <w:pStyle w:val="Normal"/>
        <w:numPr>
          <w:ilvl w:val="0"/>
          <w:numId w:val="5"/>
        </w:numPr>
        <w:spacing w:lineRule="auto" w:line="240"/>
        <w:rPr/>
      </w:pPr>
      <w:r>
        <w:rPr/>
        <w:t xml:space="preserve">Collaborative and Supportive Environment: You will interact daily with supervisors and colleagues who have extensive and diverse expertise on AI. You will collaborate particularly closely with two other PhD students involved in the Data2Action network. </w:t>
      </w:r>
    </w:p>
    <w:p>
      <w:pPr>
        <w:pStyle w:val="Normal"/>
        <w:numPr>
          <w:ilvl w:val="0"/>
          <w:numId w:val="5"/>
        </w:numPr>
        <w:spacing w:lineRule="auto" w:line="240"/>
        <w:rPr/>
      </w:pPr>
      <w:r>
        <w:rPr>
          <w:rFonts w:eastAsia="Calibri" w:cs="Calibri"/>
          <w:b w:val="false"/>
          <w:bCs w:val="false"/>
          <w:szCs w:val="24"/>
          <w:lang w:val="nl-NL"/>
        </w:rPr>
        <w:t xml:space="preserve">Global Exposure and Networking: The Data2Action network will provide specialized training </w:t>
      </w:r>
      <w:r>
        <w:rPr>
          <w:rFonts w:eastAsia="Calibri" w:cs="Calibri"/>
          <w:b w:val="false"/>
          <w:bCs w:val="false"/>
          <w:szCs w:val="24"/>
          <w:lang w:val="nl-NL"/>
        </w:rPr>
        <w:t>sessions</w:t>
      </w:r>
      <w:r>
        <w:rPr>
          <w:rFonts w:eastAsia="Calibri" w:cs="Calibri"/>
          <w:b w:val="false"/>
          <w:bCs w:val="false"/>
          <w:szCs w:val="24"/>
          <w:lang w:val="nl-NL"/>
        </w:rPr>
        <w:t xml:space="preserve"> beyond the PhD programme, and the opportunity to interact with highly motivated PhD students and researchers outside your own institution. </w:t>
      </w:r>
      <w:r>
        <w:rPr>
          <w:rFonts w:eastAsia="Calibri" w:cs="Calibri"/>
          <w:b w:val="false"/>
          <w:bCs w:val="false"/>
          <w:szCs w:val="24"/>
          <w:lang w:val="nl-NL"/>
        </w:rPr>
        <w:t>With this, you will be enhancing your skill set and expanding your professional network.​ You will also be encouraged to attend and actively participate in international conferences.</w:t>
      </w:r>
    </w:p>
    <w:p>
      <w:pPr>
        <w:pStyle w:val="Normal"/>
        <w:rPr>
          <w:b/>
          <w:bCs/>
          <w:lang w:val="nl-NL"/>
        </w:rPr>
      </w:pPr>
      <w:r>
        <w:rPr>
          <w:b/>
          <w:bCs/>
          <w:lang w:val="nl-NL"/>
        </w:rPr>
      </w:r>
    </w:p>
    <w:p>
      <w:pPr>
        <w:pStyle w:val="Heading2"/>
        <w:rPr/>
      </w:pPr>
      <w:r>
        <w:rPr/>
        <w:t xml:space="preserve">Requirements </w:t>
      </w:r>
    </w:p>
    <w:p>
      <w:pPr>
        <w:pStyle w:val="Normal"/>
        <w:rPr>
          <w:b/>
          <w:bCs/>
          <w:i/>
          <w:i/>
          <w:lang w:val="nl-NL"/>
        </w:rPr>
      </w:pPr>
      <w:r>
        <w:rPr>
          <w:b/>
          <w:bCs/>
          <w:i/>
          <w:lang w:val="nl-NL"/>
        </w:rPr>
      </w:r>
    </w:p>
    <w:p>
      <w:pPr>
        <w:pStyle w:val="Normal"/>
        <w:rPr>
          <w:b/>
          <w:bCs/>
          <w:i/>
          <w:i/>
          <w:lang w:val="nl-NL"/>
        </w:rPr>
      </w:pPr>
      <w:r>
        <w:rPr>
          <w:b/>
          <w:bCs/>
          <w:i w:val="false"/>
          <w:iCs w:val="false"/>
          <w:lang w:val="nl-NL"/>
        </w:rPr>
        <w:t>Essential</w:t>
      </w:r>
      <w:r>
        <w:rPr>
          <w:b/>
          <w:bCs/>
          <w:i/>
          <w:lang w:val="nl-NL"/>
        </w:rPr>
        <w:t xml:space="preserve"> </w:t>
      </w:r>
    </w:p>
    <w:p>
      <w:pPr>
        <w:pStyle w:val="ListParagraph"/>
        <w:numPr>
          <w:ilvl w:val="0"/>
          <w:numId w:val="3"/>
        </w:numPr>
        <w:suppressLineNumbers w:val="0"/>
        <w:bidi w:val="0"/>
        <w:spacing w:lineRule="auto" w:line="240" w:beforeAutospacing="0" w:before="0" w:afterAutospacing="0" w:after="0"/>
        <w:ind w:hanging="360" w:left="360" w:right="0"/>
        <w:contextualSpacing/>
        <w:jc w:val="left"/>
        <w:rPr/>
      </w:pPr>
      <w:r>
        <w:rPr>
          <w:lang w:val="en-US"/>
        </w:rPr>
        <w:t>Eligible applicants must possess or be finalising a Master’s degree or an equivalent degree in a relevant discipline for Data2Action, especially computer science, artificial intelligence, ICT engineering, digital humanities, computational social science, quantitative (political) science.</w:t>
      </w:r>
    </w:p>
    <w:p>
      <w:pPr>
        <w:pStyle w:val="ListParagraph"/>
        <w:numPr>
          <w:ilvl w:val="0"/>
          <w:numId w:val="3"/>
        </w:numPr>
        <w:spacing w:lineRule="auto" w:line="240" w:before="0" w:after="160"/>
        <w:ind w:hanging="360" w:left="360"/>
        <w:contextualSpacing/>
        <w:rPr/>
      </w:pPr>
      <w:r>
        <w:rPr>
          <w:lang w:val="en-US"/>
        </w:rPr>
        <w:t>Proficiency in at least one programming language</w:t>
      </w:r>
    </w:p>
    <w:p>
      <w:pPr>
        <w:pStyle w:val="ListParagraph"/>
        <w:numPr>
          <w:ilvl w:val="0"/>
          <w:numId w:val="3"/>
        </w:numPr>
        <w:spacing w:lineRule="auto" w:line="240" w:before="0" w:after="160"/>
        <w:contextualSpacing/>
        <w:rPr/>
      </w:pPr>
      <w:r>
        <w:rPr>
          <w:bCs/>
          <w:lang w:val="nl-NL"/>
        </w:rPr>
        <w:t>Excellent English language proficiency</w:t>
      </w:r>
    </w:p>
    <w:p>
      <w:pPr>
        <w:pStyle w:val="ListParagraph"/>
        <w:numPr>
          <w:ilvl w:val="0"/>
          <w:numId w:val="3"/>
        </w:numPr>
        <w:spacing w:lineRule="auto" w:line="240"/>
        <w:rPr/>
      </w:pPr>
      <w:r>
        <w:rPr>
          <w:lang w:val="nl-NL"/>
        </w:rPr>
        <w:t>Open-minded, self-aware, independent, collaborative, critical thinker, team player, strong communicator.</w:t>
      </w:r>
    </w:p>
    <w:p>
      <w:pPr>
        <w:pStyle w:val="ListParagraph"/>
        <w:numPr>
          <w:ilvl w:val="0"/>
          <w:numId w:val="3"/>
        </w:numPr>
        <w:spacing w:lineRule="auto" w:line="240"/>
        <w:rPr/>
      </w:pPr>
      <w:r>
        <w:rPr>
          <w:bCs/>
          <w:lang w:val="nl-NL"/>
        </w:rPr>
        <w:t>Available full-time to start the program in September 2025.</w:t>
      </w:r>
    </w:p>
    <w:p>
      <w:pPr>
        <w:pStyle w:val="Normal"/>
        <w:rPr>
          <w:b/>
          <w:bCs/>
          <w:i/>
          <w:i/>
          <w:lang w:val="nl-NL"/>
        </w:rPr>
      </w:pPr>
      <w:r>
        <w:rPr>
          <w:b/>
          <w:bCs/>
          <w:i w:val="false"/>
          <w:iCs w:val="false"/>
          <w:lang w:val="nl-NL"/>
        </w:rPr>
        <w:t>Desirable</w:t>
      </w:r>
    </w:p>
    <w:p>
      <w:pPr>
        <w:pStyle w:val="ListParagraph"/>
        <w:numPr>
          <w:ilvl w:val="0"/>
          <w:numId w:val="3"/>
        </w:numPr>
        <w:spacing w:lineRule="auto" w:line="240"/>
        <w:rPr/>
      </w:pPr>
      <w:r>
        <w:rPr>
          <w:rFonts w:eastAsia="Calibri" w:cs="Calibri"/>
          <w:b w:val="false"/>
          <w:bCs w:val="false"/>
          <w:i w:val="false"/>
          <w:iCs w:val="false"/>
          <w:sz w:val="24"/>
          <w:szCs w:val="24"/>
          <w:lang w:val="en-US"/>
        </w:rPr>
        <w:t>Prior experience in natural language processing or artificial intelligence</w:t>
      </w:r>
    </w:p>
    <w:p>
      <w:pPr>
        <w:pStyle w:val="ListParagraph"/>
        <w:numPr>
          <w:ilvl w:val="0"/>
          <w:numId w:val="3"/>
        </w:numPr>
        <w:spacing w:lineRule="auto" w:line="240" w:beforeAutospacing="0" w:before="240" w:afterAutospacing="0" w:after="0"/>
        <w:contextualSpacing/>
        <w:rPr/>
      </w:pPr>
      <w:r>
        <w:rPr>
          <w:rFonts w:eastAsia="Calibri" w:cs="Calibri"/>
          <w:b w:val="false"/>
          <w:bCs w:val="false"/>
          <w:i w:val="false"/>
          <w:iCs w:val="false"/>
          <w:sz w:val="24"/>
          <w:szCs w:val="24"/>
          <w:lang w:val="en-US"/>
        </w:rPr>
        <w:t>Prior experience in academic writing or scientific publications</w:t>
      </w:r>
    </w:p>
    <w:p>
      <w:pPr>
        <w:pStyle w:val="ListParagraph"/>
        <w:numPr>
          <w:ilvl w:val="0"/>
          <w:numId w:val="3"/>
        </w:numPr>
        <w:spacing w:lineRule="auto" w:line="240" w:before="0" w:after="160"/>
        <w:contextualSpacing/>
        <w:rPr/>
      </w:pPr>
      <w:r>
        <w:rPr>
          <w:rFonts w:eastAsia="Calibri" w:cs="Calibri"/>
          <w:b w:val="false"/>
          <w:bCs w:val="false"/>
          <w:i w:val="false"/>
          <w:iCs w:val="false"/>
          <w:sz w:val="24"/>
          <w:szCs w:val="24"/>
          <w:lang w:val="en-US"/>
        </w:rPr>
        <w:t>Prior practical or research experience with social innovation and/or the public sector</w:t>
      </w:r>
    </w:p>
    <w:p>
      <w:pPr>
        <w:pStyle w:val="Normal"/>
        <w:rPr>
          <w:bCs/>
          <w:lang w:val="nl-NL"/>
        </w:rPr>
      </w:pPr>
      <w:r>
        <w:rPr>
          <w:b/>
          <w:bCs/>
          <w:lang w:val="nl-NL"/>
        </w:rPr>
        <w:t>Eligibility Conditions</w:t>
      </w:r>
    </w:p>
    <w:p>
      <w:pPr>
        <w:pStyle w:val="ListParagraph"/>
        <w:numPr>
          <w:ilvl w:val="0"/>
          <w:numId w:val="3"/>
        </w:numPr>
        <w:rPr>
          <w:bCs/>
          <w:lang w:val="nl-NL"/>
        </w:rPr>
      </w:pPr>
      <w:r>
        <w:rPr>
          <w:bCs/>
          <w:lang w:val="nl-NL"/>
        </w:rPr>
        <w:t>Applicants do not already hold a doctoral degree.</w:t>
      </w:r>
    </w:p>
    <w:p>
      <w:pPr>
        <w:pStyle w:val="ListParagraph"/>
        <w:numPr>
          <w:ilvl w:val="0"/>
          <w:numId w:val="3"/>
        </w:numPr>
        <w:rPr>
          <w:lang w:val="en-GB"/>
        </w:rPr>
      </w:pPr>
      <w:r>
        <w:rPr>
          <w:lang w:val="en-GB"/>
        </w:rPr>
        <w:t>Applicants must not have resided or carried out their main activity (work, studies, etc.) in the country of recruitment for more than 12 months in the 36 months immediately before the recruitment date. Compulsory national service, short stays such as holidays, and time spent as part of a procedure for obtaining refugee status under the Geneva Convention are not taken into account.</w:t>
      </w:r>
    </w:p>
    <w:p>
      <w:pPr>
        <w:pStyle w:val="Heading2"/>
        <w:spacing w:lineRule="auto" w:line="240" w:before="0" w:after="160"/>
        <w:rPr>
          <w:b/>
          <w:bCs/>
        </w:rPr>
      </w:pPr>
      <w:r>
        <w:rPr/>
        <w:t>Application</w:t>
      </w:r>
    </w:p>
    <w:p>
      <w:pPr>
        <w:pStyle w:val="Normal"/>
        <w:spacing w:lineRule="auto" w:line="240"/>
        <w:rPr>
          <w:b/>
          <w:bCs/>
        </w:rPr>
      </w:pPr>
      <w:r>
        <w:rPr>
          <w:b/>
          <w:bCs/>
        </w:rPr>
        <w:t>Instructions</w:t>
      </w:r>
    </w:p>
    <w:p>
      <w:pPr>
        <w:pStyle w:val="Normal"/>
        <w:spacing w:lineRule="auto" w:line="240"/>
        <w:rPr/>
      </w:pPr>
      <w:r>
        <w:rPr/>
        <w:t xml:space="preserve">To apply, send an e-mail to </w:t>
      </w:r>
      <w:hyperlink r:id="rId10">
        <w:r>
          <w:rPr>
            <w:rStyle w:val="Hyperlink"/>
          </w:rPr>
          <w:t>mitja.lustrek@ijs.si</w:t>
        </w:r>
      </w:hyperlink>
      <w:r>
        <w:rPr/>
        <w:t xml:space="preserve"> with:</w:t>
      </w:r>
    </w:p>
    <w:p>
      <w:pPr>
        <w:pStyle w:val="ListParagraph"/>
        <w:numPr>
          <w:ilvl w:val="0"/>
          <w:numId w:val="1"/>
        </w:numPr>
        <w:spacing w:lineRule="auto" w:line="240"/>
        <w:rPr/>
      </w:pPr>
      <w:r>
        <w:rPr/>
        <w:t>Cover letter outlining your research interest, motivation to participate in the MSCA project, and previous experience (studies, employments etc.)</w:t>
      </w:r>
    </w:p>
    <w:p>
      <w:pPr>
        <w:pStyle w:val="ListParagraph"/>
        <w:numPr>
          <w:ilvl w:val="0"/>
          <w:numId w:val="1"/>
        </w:numPr>
        <w:spacing w:lineRule="auto" w:line="240"/>
        <w:rPr/>
      </w:pPr>
      <w:r>
        <w:rPr/>
        <w:t xml:space="preserve">Explicit confirmation that you meet the eligibility conditions and requirements </w:t>
      </w:r>
    </w:p>
    <w:p>
      <w:pPr>
        <w:pStyle w:val="ListParagraph"/>
        <w:numPr>
          <w:ilvl w:val="0"/>
          <w:numId w:val="1"/>
        </w:numPr>
        <w:spacing w:lineRule="auto" w:line="240"/>
        <w:rPr/>
      </w:pPr>
      <w:r>
        <w:rPr/>
        <w:t>Curriculum vitae (CV)</w:t>
      </w:r>
    </w:p>
    <w:p>
      <w:pPr>
        <w:pStyle w:val="ListParagraph"/>
        <w:numPr>
          <w:ilvl w:val="0"/>
          <w:numId w:val="1"/>
        </w:numPr>
        <w:spacing w:lineRule="auto" w:line="240"/>
        <w:rPr/>
      </w:pPr>
      <w:r>
        <w:rPr/>
        <w:t>Degree Transcripts</w:t>
      </w:r>
    </w:p>
    <w:p>
      <w:pPr>
        <w:pStyle w:val="ListParagraph"/>
        <w:numPr>
          <w:ilvl w:val="0"/>
          <w:numId w:val="1"/>
        </w:numPr>
        <w:spacing w:lineRule="auto" w:line="240"/>
        <w:rPr/>
      </w:pPr>
      <w:r>
        <w:rPr/>
        <w:t>Two recommendation letters (may be provided by professors, teaching assistants or previous employers)</w:t>
      </w:r>
    </w:p>
    <w:p>
      <w:pPr>
        <w:pStyle w:val="Normal"/>
        <w:spacing w:lineRule="auto" w:line="240"/>
        <w:rPr/>
      </w:pPr>
      <w:r>
        <w:rPr/>
        <w:t>You will receive a confirmation of your application.</w:t>
      </w:r>
    </w:p>
    <w:p>
      <w:pPr>
        <w:pStyle w:val="Normal"/>
        <w:spacing w:lineRule="auto" w:line="240"/>
        <w:rPr>
          <w:b/>
          <w:bCs/>
        </w:rPr>
      </w:pPr>
      <w:r>
        <w:rPr>
          <w:b/>
          <w:bCs/>
        </w:rPr>
      </w:r>
    </w:p>
    <w:p>
      <w:pPr>
        <w:pStyle w:val="Normal"/>
        <w:spacing w:lineRule="auto" w:line="240"/>
        <w:rPr/>
      </w:pPr>
      <w:r>
        <w:rPr>
          <w:b/>
          <w:bCs/>
        </w:rPr>
        <w:t>Deadline</w:t>
      </w:r>
    </w:p>
    <w:p>
      <w:pPr>
        <w:pStyle w:val="Normal"/>
        <w:spacing w:lineRule="auto" w:line="240"/>
        <w:rPr/>
      </w:pPr>
      <w:r>
        <w:rPr>
          <w:lang w:val="en-US"/>
        </w:rPr>
        <w:t>Sunday 18th May 2025</w:t>
      </w:r>
    </w:p>
    <w:p>
      <w:pPr>
        <w:pStyle w:val="Normal"/>
        <w:rPr>
          <w:lang w:val="en-US"/>
        </w:rPr>
      </w:pPr>
      <w:r>
        <w:rPr>
          <w:lang w:val="en-US"/>
        </w:rPr>
      </w:r>
    </w:p>
    <w:p>
      <w:pPr>
        <w:pStyle w:val="Normal"/>
        <w:rPr>
          <w:b/>
          <w:lang w:val="en-US"/>
        </w:rPr>
      </w:pPr>
      <w:r>
        <w:rPr>
          <w:b/>
          <w:lang w:val="en-US"/>
        </w:rPr>
        <w:t>Selection process</w:t>
      </w:r>
    </w:p>
    <w:p>
      <w:pPr>
        <w:pStyle w:val="Normal"/>
        <w:rPr>
          <w:lang w:val="en-GB"/>
        </w:rPr>
      </w:pPr>
      <w:r>
        <w:rPr>
          <w:lang w:val="en-GB"/>
        </w:rPr>
        <w:t>Our selection procedure is open, transparent, merit-based, impartial, and equitable, in line with the Code of Conduct for the Recruitment of Researchers (</w:t>
      </w:r>
      <w:r>
        <w:fldChar w:fldCharType="begin"/>
      </w:r>
      <w:r>
        <w:rPr>
          <w:rStyle w:val="Hyperlink"/>
          <w:lang w:val="en-GB"/>
        </w:rPr>
        <w:instrText xml:space="preserve"> HYPERLINK "https://euraxess.ec.europa.eu/useful-information/brochures" \l "brochure-topic-1"</w:instrText>
      </w:r>
      <w:r>
        <w:rPr>
          <w:rStyle w:val="Hyperlink"/>
          <w:lang w:val="en-GB"/>
        </w:rPr>
        <w:fldChar w:fldCharType="separate"/>
      </w:r>
      <w:r>
        <w:rPr>
          <w:rStyle w:val="Hyperlink"/>
          <w:lang w:val="en-GB"/>
        </w:rPr>
        <w:t>link</w:t>
      </w:r>
      <w:r>
        <w:rPr>
          <w:rStyle w:val="Hyperlink"/>
          <w:lang w:val="en-GB"/>
        </w:rPr>
        <w:fldChar w:fldCharType="end"/>
      </w:r>
      <w:r>
        <w:rPr>
          <w:lang w:val="en-GB"/>
        </w:rPr>
        <w:t xml:space="preserve">). </w:t>
      </w:r>
    </w:p>
    <w:p>
      <w:pPr>
        <w:pStyle w:val="Normal"/>
        <w:rPr/>
      </w:pPr>
      <w:r>
        <w:rPr/>
      </w:r>
    </w:p>
    <w:p>
      <w:pPr>
        <w:pStyle w:val="Normal"/>
        <w:rPr/>
      </w:pPr>
      <w:r>
        <w:rPr/>
        <w:t>The selection procedure will consist of the following steps:</w:t>
      </w:r>
    </w:p>
    <w:p>
      <w:pPr>
        <w:pStyle w:val="ListParagraph"/>
        <w:numPr>
          <w:ilvl w:val="0"/>
          <w:numId w:val="4"/>
        </w:numPr>
        <w:rPr/>
      </w:pPr>
      <w:r>
        <w:rPr>
          <w:lang w:val="en-GB"/>
        </w:rPr>
        <w:t>Eligibility check: The Recruitment Committee will check each application is complete and that applicants fulfil the eligibility criteria described in the previous section.</w:t>
      </w:r>
    </w:p>
    <w:p>
      <w:pPr>
        <w:pStyle w:val="ListParagraph"/>
        <w:numPr>
          <w:ilvl w:val="0"/>
          <w:numId w:val="4"/>
        </w:numPr>
        <w:rPr/>
      </w:pPr>
      <w:r>
        <w:rPr/>
        <w:t>Screening: Applications will be reviewed for eligibility and suitability based on the criteria listed for each position.</w:t>
      </w:r>
    </w:p>
    <w:p>
      <w:pPr>
        <w:pStyle w:val="ListParagraph"/>
        <w:numPr>
          <w:ilvl w:val="0"/>
          <w:numId w:val="4"/>
        </w:numPr>
        <w:rPr/>
      </w:pPr>
      <w:r>
        <w:rPr>
          <w:lang w:val="en-GB"/>
        </w:rPr>
        <w:t>Online interviews: The short-listed candidates will be interviewed by a Selection Committee that will include the recruiting Principal Investigators. Selection committees will bring together diverse expertise and competencies and have an adequate gender balance.</w:t>
      </w:r>
    </w:p>
    <w:p>
      <w:pPr>
        <w:pStyle w:val="ListParagraph"/>
        <w:numPr>
          <w:ilvl w:val="0"/>
          <w:numId w:val="4"/>
        </w:numPr>
        <w:rPr/>
      </w:pPr>
      <w:r>
        <w:rPr/>
        <w:t xml:space="preserve">The recruiting institution will notify the selection outcome after the interview. </w:t>
      </w:r>
    </w:p>
    <w:p>
      <w:pPr>
        <w:pStyle w:val="Heading2"/>
        <w:rPr/>
      </w:pPr>
      <w:r>
        <w:rPr>
          <w:b/>
          <w:lang w:val="en-US"/>
        </w:rPr>
        <w:t>Additional information</w:t>
      </w:r>
    </w:p>
    <w:p>
      <w:pPr>
        <w:pStyle w:val="Normal"/>
        <w:rPr>
          <w:b/>
          <w:lang w:val="en-US"/>
        </w:rPr>
      </w:pPr>
      <w:r>
        <w:rPr>
          <w:b/>
          <w:lang w:val="en-US"/>
        </w:rPr>
      </w:r>
    </w:p>
    <w:p>
      <w:pPr>
        <w:pStyle w:val="Normal"/>
        <w:rPr/>
      </w:pPr>
      <w:r>
        <w:rPr/>
        <w:t>For more information about this position, you can contact Prof Mitja Luštrek (</w:t>
      </w:r>
      <w:hyperlink r:id="rId11">
        <w:r>
          <w:rPr>
            <w:rStyle w:val="Hyperlink"/>
          </w:rPr>
          <w:t>mitja.lustrek@ijs.si</w:t>
        </w:r>
      </w:hyperlink>
      <w:r>
        <w:rPr/>
        <w:t xml:space="preserve">) </w:t>
      </w:r>
      <w:r>
        <w:rPr/>
        <w:t>or Dr Nikola Ljubešić (</w:t>
      </w:r>
      <w:hyperlink r:id="rId12">
        <w:r>
          <w:rPr>
            <w:rStyle w:val="Hyperlink"/>
          </w:rPr>
          <w:t>nljubesi@gmail.com</w:t>
        </w:r>
      </w:hyperlink>
      <w:r>
        <w:rPr/>
        <w:t>).</w:t>
      </w:r>
    </w:p>
    <w:p>
      <w:pPr>
        <w:pStyle w:val="Normal"/>
        <w:rPr/>
      </w:pPr>
      <w:r>
        <w:rPr/>
      </w:r>
    </w:p>
    <w:p>
      <w:pPr>
        <w:pStyle w:val="Normal"/>
        <w:rPr/>
      </w:pPr>
      <w:r>
        <w:rPr/>
        <w:t>We are hosting two information sessions on Tuesday 29</w:t>
      </w:r>
      <w:r>
        <w:rPr>
          <w:vertAlign w:val="superscript"/>
        </w:rPr>
        <w:t>th</w:t>
      </w:r>
      <w:r>
        <w:rPr/>
        <w:t xml:space="preserve"> April 2025 for those interested in applying for a PhD fellow position with Data2Action. The session will start with a 15-minute presentation and then there will be a Q&amp;A. We are running two sessions to ensure maximum global reach. Both sessions will be the same so you should only attend one. Sign up here: </w:t>
      </w:r>
    </w:p>
    <w:p>
      <w:pPr>
        <w:pStyle w:val="Normal"/>
        <w:jc w:val="left"/>
        <w:rPr/>
      </w:pPr>
      <w:r>
        <w:rPr/>
      </w:r>
    </w:p>
    <w:p>
      <w:pPr>
        <w:pStyle w:val="Normal"/>
        <w:jc w:val="left"/>
        <w:rPr/>
      </w:pPr>
      <w:r>
        <w:rPr/>
        <w:t>Tuesday 29</w:t>
      </w:r>
      <w:r>
        <w:rPr>
          <w:vertAlign w:val="superscript"/>
        </w:rPr>
        <w:t>th</w:t>
      </w:r>
      <w:r>
        <w:rPr/>
        <w:t xml:space="preserve"> April 2025, 10am UK time – sign up here: </w:t>
      </w:r>
      <w:hyperlink r:id="rId13">
        <w:r>
          <w:rPr>
            <w:rStyle w:val="Hyperlink"/>
          </w:rPr>
          <w:t>https://events.teams.microsoft.com/event/011990ff-324b-4c4d-a7f0-918a57283617@c72728f7-4cca-49fe-bc49-47ab02f7a930</w:t>
        </w:r>
      </w:hyperlink>
      <w:r>
        <w:rPr/>
        <w:t xml:space="preserve"> </w:t>
      </w:r>
    </w:p>
    <w:p>
      <w:pPr>
        <w:pStyle w:val="Normal"/>
        <w:jc w:val="left"/>
        <w:rPr/>
      </w:pPr>
      <w:r>
        <w:rPr/>
        <w:t>Tuesday 29</w:t>
      </w:r>
      <w:r>
        <w:rPr>
          <w:vertAlign w:val="superscript"/>
        </w:rPr>
        <w:t>th</w:t>
      </w:r>
      <w:r>
        <w:rPr/>
        <w:t xml:space="preserve"> April 2025, 6pm UK time - sign up here </w:t>
      </w:r>
      <w:hyperlink r:id="rId14">
        <w:r>
          <w:rPr>
            <w:rStyle w:val="Hyperlink"/>
          </w:rPr>
          <w:t>https://events.teams.microsoft.com/event/11bf7da0-a047-4ebb-9089-2e90c9756c45@c72728f7-4cca-49fe-bc49-47ab02f7a930</w:t>
        </w:r>
      </w:hyperlink>
    </w:p>
    <w:p>
      <w:pPr>
        <w:pStyle w:val="Normal"/>
        <w:jc w:val="left"/>
        <w:rPr/>
      </w:pPr>
      <w:r>
        <w:rPr/>
      </w:r>
    </w:p>
    <w:p>
      <w:pPr>
        <w:pStyle w:val="Normal"/>
        <w:jc w:val="left"/>
        <w:rPr/>
      </w:pPr>
      <w:r>
        <w:rPr/>
      </w:r>
    </w:p>
    <w:p>
      <w:pPr>
        <w:pStyle w:val="Normal"/>
        <w:rPr/>
      </w:pPr>
      <w:r>
        <w:rPr/>
      </w:r>
    </w:p>
    <w:p>
      <w:pPr>
        <w:pStyle w:val="Normal"/>
        <w:rPr>
          <w:lang w:val="en-US"/>
        </w:rPr>
      </w:pPr>
      <w:r>
        <w:rPr>
          <w:lang w:val="en-US"/>
        </w:rPr>
      </w:r>
    </w:p>
    <w:p>
      <w:pPr>
        <w:pStyle w:val="Normal"/>
        <w:widowControl/>
        <w:bidi w:val="0"/>
        <w:spacing w:lineRule="auto" w:line="240" w:before="0" w:after="159"/>
        <w:contextualSpacing/>
        <w:jc w:val="both"/>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swiss"/>
    <w:pitch w:val="variable"/>
  </w:font>
  <w:font w:name="Segoe UI">
    <w:charset w:val="01"/>
    <w:family w:val="swiss"/>
    <w:pitch w:val="variable"/>
  </w:font>
  <w:font w:name="OpenSymbol">
    <w:altName w:val="Arial Unicode MS"/>
    <w:charset w:val="01"/>
    <w:family w:val="auto"/>
    <w:pitch w:val="variable"/>
  </w:font>
  <w:font w:name="Liberation Sans">
    <w:altName w:val="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 w:name="LucidaSansEF">
    <w:charset w:val="01"/>
    <w:family w:val="swiss"/>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360" w:hanging="360"/>
      </w:pPr>
      <w:rPr>
        <w:rFonts w:ascii="LucidaSansEF" w:hAnsi="LucidaSansEF" w:cs="LucidaSansEF"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numFmt w:val="bullet"/>
      <w:lvlText w:val="-"/>
      <w:lvlJc w:val="left"/>
      <w:pPr>
        <w:tabs>
          <w:tab w:val="num" w:pos="0"/>
        </w:tabs>
        <w:ind w:left="360" w:hanging="360"/>
      </w:pPr>
      <w:rPr>
        <w:rFonts w:ascii="LucidaSansEF" w:hAnsi="LucidaSansEF" w:cs="LucidaSansE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360" w:hanging="360"/>
      </w:pPr>
      <w:rPr>
        <w:rFonts w:ascii="LucidaSansEF" w:hAnsi="LucidaSansEF" w:cs="LucidaSansE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docVars>
    <w:docVar w:name="__Grammarly_42____i" w:val="H4sIAAAAAAAEAKtWckksSQxILCpxzi/NK1GyMqwFAAEhoTITAAAA"/>
    <w:docVar w:name="__Grammarly_42___1" w:val="H4sIAAAAAAAEAKtWcslP9kxRslIyNDa2MDGyMDQ2MTA2NjM3NTRX0lEKTi0uzszPAykwrAUApmBNu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97a59"/>
    <w:pPr>
      <w:widowControl/>
      <w:suppressAutoHyphens w:val="true"/>
      <w:bidi w:val="0"/>
      <w:spacing w:lineRule="auto" w:line="240" w:before="0" w:after="159"/>
      <w:contextualSpacing/>
      <w:jc w:val="both"/>
    </w:pPr>
    <w:rPr>
      <w:rFonts w:ascii="Calibri" w:hAnsi="Calibri" w:eastAsia="Calibri" w:cs="" w:asciiTheme="minorHAnsi" w:cstheme="minorBidi" w:eastAsiaTheme="minorHAnsi" w:hAnsiTheme="minorHAnsi"/>
      <w:color w:val="auto"/>
      <w:kern w:val="0"/>
      <w:sz w:val="24"/>
      <w:szCs w:val="22"/>
      <w:lang w:val="en-GB" w:eastAsia="en-US" w:bidi="ar-SA"/>
    </w:rPr>
  </w:style>
  <w:style w:type="paragraph" w:styleId="Heading1">
    <w:name w:val="heading 1"/>
    <w:basedOn w:val="Normal"/>
    <w:next w:val="Normal"/>
    <w:link w:val="Heading1Char"/>
    <w:uiPriority w:val="9"/>
    <w:qFormat/>
    <w:rsid w:val="00a756fe"/>
    <w:pPr>
      <w:keepNext w:val="true"/>
      <w:keepLines/>
      <w:spacing w:before="240" w:after="0"/>
      <w:contextualSpacing w:val="false"/>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autoRedefine/>
    <w:uiPriority w:val="9"/>
    <w:unhideWhenUsed/>
    <w:qFormat/>
    <w:rsid w:val="00776b08"/>
    <w:pPr>
      <w:keepNext w:val="true"/>
      <w:keepLines/>
      <w:spacing w:before="40" w:after="0"/>
      <w:contextualSpacing w:val="false"/>
      <w:outlineLvl w:val="1"/>
    </w:pPr>
    <w:rPr>
      <w:rFonts w:eastAsia="" w:cs="" w:cstheme="majorBidi" w:eastAsiaTheme="majorEastAsia"/>
      <w:color w:themeColor="accent1" w:themeShade="bf" w:val="2F5496"/>
      <w:sz w:val="26"/>
      <w:szCs w:val="26"/>
    </w:rPr>
  </w:style>
  <w:style w:type="paragraph" w:styleId="Heading4">
    <w:name w:val="heading 4"/>
    <w:basedOn w:val="Normal"/>
    <w:next w:val="Normal"/>
    <w:link w:val="Heading4Char"/>
    <w:uiPriority w:val="9"/>
    <w:semiHidden/>
    <w:unhideWhenUsed/>
    <w:qFormat/>
    <w:rsid w:val="00f05a93"/>
    <w:pPr>
      <w:keepNext w:val="true"/>
      <w:keepLines/>
      <w:spacing w:before="40" w:after="0"/>
      <w:contextualSpacing w:val="false"/>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unhideWhenUsed/>
    <w:qFormat/>
    <w:rPr/>
  </w:style>
  <w:style w:type="character" w:styleId="Heading2Char" w:customStyle="1">
    <w:name w:val="Heading 2 Char"/>
    <w:basedOn w:val="DefaultParagraphFont"/>
    <w:link w:val="Heading2"/>
    <w:uiPriority w:val="9"/>
    <w:qFormat/>
    <w:rsid w:val="00776b08"/>
    <w:rPr>
      <w:rFonts w:ascii="Calibri" w:hAnsi="Calibri" w:eastAsia="" w:cs="" w:cstheme="majorBidi" w:eastAsiaTheme="majorEastAsia"/>
      <w:color w:themeColor="accent1" w:themeShade="bf" w:val="2F5496"/>
      <w:sz w:val="26"/>
      <w:szCs w:val="26"/>
    </w:rPr>
  </w:style>
  <w:style w:type="character" w:styleId="NoSpacingChar" w:customStyle="1">
    <w:name w:val="No Spacing Char"/>
    <w:basedOn w:val="DefaultParagraphFont"/>
    <w:link w:val="NoSpacing"/>
    <w:uiPriority w:val="1"/>
    <w:qFormat/>
    <w:rsid w:val="00985822"/>
    <w:rPr>
      <w:rFonts w:ascii="Calibri" w:hAnsi="Calibri" w:eastAsia="" w:eastAsiaTheme="minorEastAsia"/>
      <w:sz w:val="24"/>
      <w:lang w:val="en-US"/>
    </w:rPr>
  </w:style>
  <w:style w:type="character" w:styleId="Heading1Char" w:customStyle="1">
    <w:name w:val="Heading 1 Char"/>
    <w:basedOn w:val="DefaultParagraphFont"/>
    <w:link w:val="Heading1"/>
    <w:uiPriority w:val="9"/>
    <w:qFormat/>
    <w:rsid w:val="00a756fe"/>
    <w:rPr>
      <w:rFonts w:ascii="Calibri Light" w:hAnsi="Calibri Light" w:eastAsia="" w:cs="" w:asciiTheme="majorHAnsi" w:cstheme="majorBidi" w:eastAsiaTheme="majorEastAsia" w:hAnsiTheme="majorHAnsi"/>
      <w:color w:themeColor="accent1" w:themeShade="bf" w:val="2F5496"/>
      <w:sz w:val="32"/>
      <w:szCs w:val="32"/>
    </w:rPr>
  </w:style>
  <w:style w:type="character" w:styleId="CommentTextChar" w:customStyle="1">
    <w:name w:val="Comment Text Char"/>
    <w:basedOn w:val="DefaultParagraphFont"/>
    <w:link w:val="CommentText"/>
    <w:uiPriority w:val="99"/>
    <w:semiHidden/>
    <w:qFormat/>
    <w:rsid w:val="00a756fe"/>
    <w:rPr>
      <w:rFonts w:ascii="Calibri" w:hAnsi="Calibri"/>
      <w:sz w:val="20"/>
      <w:szCs w:val="20"/>
    </w:rPr>
  </w:style>
  <w:style w:type="character" w:styleId="CommentReference">
    <w:name w:val="annotation reference"/>
    <w:basedOn w:val="DefaultParagraphFont"/>
    <w:uiPriority w:val="99"/>
    <w:semiHidden/>
    <w:unhideWhenUsed/>
    <w:qFormat/>
    <w:rsid w:val="00a756fe"/>
    <w:rPr>
      <w:sz w:val="16"/>
      <w:szCs w:val="16"/>
    </w:rPr>
  </w:style>
  <w:style w:type="character" w:styleId="Hyperlink">
    <w:name w:val="Hyperlink"/>
    <w:basedOn w:val="DefaultParagraphFont"/>
    <w:uiPriority w:val="99"/>
    <w:unhideWhenUsed/>
    <w:rsid w:val="00a756fe"/>
    <w:rPr>
      <w:color w:themeColor="hyperlink" w:val="0563C1"/>
      <w:u w:val="single"/>
    </w:rPr>
  </w:style>
  <w:style w:type="character" w:styleId="UnresolvedMention">
    <w:name w:val="Unresolved Mention"/>
    <w:basedOn w:val="DefaultParagraphFont"/>
    <w:uiPriority w:val="99"/>
    <w:semiHidden/>
    <w:unhideWhenUsed/>
    <w:qFormat/>
    <w:rsid w:val="00a756fe"/>
    <w:rPr>
      <w:color w:val="605E5C"/>
      <w:shd w:fill="E1DFDD" w:val="clear"/>
    </w:rPr>
  </w:style>
  <w:style w:type="character" w:styleId="BalloonTextChar" w:customStyle="1">
    <w:name w:val="Balloon Text Char"/>
    <w:basedOn w:val="DefaultParagraphFont"/>
    <w:link w:val="BalloonText"/>
    <w:uiPriority w:val="99"/>
    <w:semiHidden/>
    <w:qFormat/>
    <w:rsid w:val="00a756fe"/>
    <w:rPr>
      <w:rFonts w:ascii="Segoe UI" w:hAnsi="Segoe UI" w:cs="Segoe UI"/>
      <w:sz w:val="18"/>
      <w:szCs w:val="18"/>
    </w:rPr>
  </w:style>
  <w:style w:type="character" w:styleId="TitleChar" w:customStyle="1">
    <w:name w:val="Title Char"/>
    <w:basedOn w:val="DefaultParagraphFont"/>
    <w:link w:val="Title"/>
    <w:uiPriority w:val="10"/>
    <w:qFormat/>
    <w:rsid w:val="00a756fe"/>
    <w:rPr>
      <w:rFonts w:ascii="Calibri Light" w:hAnsi="Calibri Light" w:eastAsia="" w:cs="" w:asciiTheme="majorHAnsi" w:cstheme="majorBidi" w:eastAsiaTheme="majorEastAsia" w:hAnsiTheme="majorHAnsi"/>
      <w:spacing w:val="-10"/>
      <w:kern w:val="2"/>
      <w:sz w:val="56"/>
      <w:szCs w:val="56"/>
    </w:rPr>
  </w:style>
  <w:style w:type="character" w:styleId="fieldsetlabel" w:customStyle="1">
    <w:name w:val="fieldset__label"/>
    <w:basedOn w:val="DefaultParagraphFont"/>
    <w:qFormat/>
    <w:rsid w:val="00d613e5"/>
    <w:rPr/>
  </w:style>
  <w:style w:type="character" w:styleId="Heading4Char" w:customStyle="1">
    <w:name w:val="Heading 4 Char"/>
    <w:basedOn w:val="DefaultParagraphFont"/>
    <w:link w:val="Heading4"/>
    <w:uiPriority w:val="9"/>
    <w:semiHidden/>
    <w:qFormat/>
    <w:rsid w:val="00f05a93"/>
    <w:rPr>
      <w:rFonts w:ascii="Calibri Light" w:hAnsi="Calibri Light" w:eastAsia="" w:cs="" w:asciiTheme="majorHAnsi" w:cstheme="majorBidi" w:eastAsiaTheme="majorEastAsia" w:hAnsiTheme="majorHAnsi"/>
      <w:i/>
      <w:iCs/>
      <w:color w:themeColor="accent1" w:themeShade="bf" w:val="2F5496"/>
      <w:sz w:val="24"/>
    </w:rPr>
  </w:style>
  <w:style w:type="character" w:styleId="mark1f1ya0hwu" w:customStyle="1">
    <w:name w:val="mark1f1ya0hwu"/>
    <w:basedOn w:val="DefaultParagraphFont"/>
    <w:qFormat/>
    <w:rsid w:val="00ba5ca5"/>
    <w:rPr/>
  </w:style>
  <w:style w:type="character" w:styleId="FollowedHyperlink">
    <w:name w:val="FollowedHyperlink"/>
    <w:rPr>
      <w:color w:val="80000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contextualSpacing w:val="false"/>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contextualSpacing w:val="false"/>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contextualSpacing w:val="false"/>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link w:val="NoSpacingChar"/>
    <w:autoRedefine/>
    <w:uiPriority w:val="1"/>
    <w:qFormat/>
    <w:rsid w:val="00985822"/>
    <w:pPr>
      <w:widowControl/>
      <w:suppressAutoHyphens w:val="true"/>
      <w:bidi w:val="0"/>
      <w:spacing w:lineRule="auto" w:line="240" w:before="0" w:after="0"/>
      <w:jc w:val="left"/>
    </w:pPr>
    <w:rPr>
      <w:rFonts w:ascii="Calibri" w:hAnsi="Calibri" w:eastAsia="" w:cs="" w:eastAsiaTheme="minorEastAsia"/>
      <w:color w:val="auto"/>
      <w:kern w:val="0"/>
      <w:sz w:val="24"/>
      <w:szCs w:val="22"/>
      <w:lang w:val="en-US" w:eastAsia="en-US" w:bidi="ar-SA"/>
    </w:rPr>
  </w:style>
  <w:style w:type="paragraph" w:styleId="CommentText">
    <w:name w:val="annotation text"/>
    <w:basedOn w:val="Normal"/>
    <w:link w:val="CommentTextChar"/>
    <w:uiPriority w:val="99"/>
    <w:semiHidden/>
    <w:unhideWhenUsed/>
    <w:rsid w:val="00a756fe"/>
    <w:pPr>
      <w:spacing w:lineRule="auto" w:line="240"/>
    </w:pPr>
    <w:rPr>
      <w:sz w:val="20"/>
      <w:szCs w:val="20"/>
    </w:rPr>
  </w:style>
  <w:style w:type="paragraph" w:styleId="BalloonText">
    <w:name w:val="Balloon Text"/>
    <w:basedOn w:val="Normal"/>
    <w:link w:val="BalloonTextChar"/>
    <w:uiPriority w:val="99"/>
    <w:semiHidden/>
    <w:unhideWhenUsed/>
    <w:qFormat/>
    <w:rsid w:val="00a756fe"/>
    <w:pPr>
      <w:spacing w:lineRule="auto" w:line="240" w:before="0" w:after="0"/>
      <w:contextualSpacing w:val="false"/>
    </w:pPr>
    <w:rPr>
      <w:rFonts w:ascii="Segoe UI" w:hAnsi="Segoe UI" w:cs="Segoe UI"/>
      <w:sz w:val="18"/>
      <w:szCs w:val="18"/>
    </w:rPr>
  </w:style>
  <w:style w:type="paragraph" w:styleId="Title">
    <w:name w:val="Title"/>
    <w:basedOn w:val="Normal"/>
    <w:next w:val="Normal"/>
    <w:link w:val="TitleChar"/>
    <w:uiPriority w:val="10"/>
    <w:qFormat/>
    <w:rsid w:val="00a756fe"/>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uiPriority w:val="11"/>
    <w:qFormat/>
    <w:rsid w:val="6d47205d"/>
    <w:pPr/>
    <w:rPr>
      <w:rFonts w:eastAsia="" w:cs="" w:cstheme="majorEastAsia" w:eastAsiaTheme="minorEastAsia"/>
      <w:color w:themeColor="text1" w:themeTint="a6" w:val="595959"/>
      <w:sz w:val="28"/>
      <w:szCs w:val="28"/>
    </w:rPr>
  </w:style>
  <w:style w:type="paragraph" w:styleId="ListParagraph">
    <w:name w:val="List Paragraph"/>
    <w:basedOn w:val="Normal"/>
    <w:uiPriority w:val="34"/>
    <w:qFormat/>
    <w:rsid w:val="007370c7"/>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701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indaphd.com/common/clickCount.aspx?theid=183380&amp;type=184&amp;DID=7966&amp;url=https%3A%2F%2Fwww.findaphd.com%2Fphds%2Fprogram%2Fjoin-data2action-the-msca-doctoral-network-uniting-social-innovation-with-data-science-and-ai-for-common-good%2F%3Fp6810" TargetMode="External"/><Relationship Id="rId3" Type="http://schemas.openxmlformats.org/officeDocument/2006/relationships/hyperlink" Target="https://danesjenovdan.si/en/about/" TargetMode="External"/><Relationship Id="rId4" Type="http://schemas.openxmlformats.org/officeDocument/2006/relationships/hyperlink" Target="https://www.clarin.eu/parlamint" TargetMode="External"/><Relationship Id="rId5" Type="http://schemas.openxmlformats.org/officeDocument/2006/relationships/hyperlink" Target="https://www.usi.ch/en" TargetMode="External"/><Relationship Id="rId6" Type="http://schemas.openxmlformats.org/officeDocument/2006/relationships/hyperlink" Target="https://www.ijs.si/ijsw/V001/JSI" TargetMode="External"/><Relationship Id="rId7" Type="http://schemas.openxmlformats.org/officeDocument/2006/relationships/hyperlink" Target="https://www.mps.si/en/" TargetMode="External"/><Relationship Id="rId8" Type="http://schemas.openxmlformats.org/officeDocument/2006/relationships/hyperlink" Target="https://ec.europa.eu/info/funding-tenders/opportunities/docs/2021-2027/horizon/wp-call/2023-2024/wp-2-msca-actions_horizon-2023-2024_en.pdf" TargetMode="External"/><Relationship Id="rId9" Type="http://schemas.openxmlformats.org/officeDocument/2006/relationships/hyperlink" Target="https://ec.europa.eu/research/mariecurieactions/" TargetMode="External"/><Relationship Id="rId10" Type="http://schemas.openxmlformats.org/officeDocument/2006/relationships/hyperlink" Target="mailto:mitja.lustrek@ijs.si" TargetMode="External"/><Relationship Id="rId11" Type="http://schemas.openxmlformats.org/officeDocument/2006/relationships/hyperlink" Target="mailto:mitja.lustrek@ijs.si" TargetMode="External"/><Relationship Id="rId12" Type="http://schemas.openxmlformats.org/officeDocument/2006/relationships/hyperlink" Target="mailto:nljubesi@gmail.com" TargetMode="External"/><Relationship Id="rId13" Type="http://schemas.openxmlformats.org/officeDocument/2006/relationships/hyperlink" Target="https://events.teams.microsoft.com/event/011990ff-324b-4c4d-a7f0-918a57283617@c72728f7-4cca-49fe-bc49-47ab02f7a930" TargetMode="External"/><Relationship Id="rId14" Type="http://schemas.openxmlformats.org/officeDocument/2006/relationships/hyperlink" Target="https://events.teams.microsoft.com/event/11bf7da0-a047-4ebb-9089-2e90c9756c45@c72728f7-4cca-49fe-bc49-47ab02f7a930"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d26237-6719-4486-acf5-b0df687f242c">
      <Terms xmlns="http://schemas.microsoft.com/office/infopath/2007/PartnerControls"/>
    </lcf76f155ced4ddcb4097134ff3c332f>
    <TaxCatchAll xmlns="9a47551f-1e0a-4a00-90d4-43c6fce579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6FB6622C86B45BD7072CF5403AC1A" ma:contentTypeVersion="14" ma:contentTypeDescription="Create a new document." ma:contentTypeScope="" ma:versionID="b06690041ad40759ca9153efab02861d">
  <xsd:schema xmlns:xsd="http://www.w3.org/2001/XMLSchema" xmlns:xs="http://www.w3.org/2001/XMLSchema" xmlns:p="http://schemas.microsoft.com/office/2006/metadata/properties" xmlns:ns2="c1d26237-6719-4486-acf5-b0df687f242c" xmlns:ns3="9a47551f-1e0a-4a00-90d4-43c6fce57952" targetNamespace="http://schemas.microsoft.com/office/2006/metadata/properties" ma:root="true" ma:fieldsID="d1e03cfbdac2d688365825f605e1e6d0" ns2:_="" ns3:_="">
    <xsd:import namespace="c1d26237-6719-4486-acf5-b0df687f242c"/>
    <xsd:import namespace="9a47551f-1e0a-4a00-90d4-43c6fce579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26237-6719-4486-acf5-b0df687f2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8c17a2-a205-424a-a7c0-06792d0f40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47551f-1e0a-4a00-90d4-43c6fce579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e29adb-f3f7-4fb4-a6dc-392fc7345735}" ma:internalName="TaxCatchAll" ma:showField="CatchAllData" ma:web="9a47551f-1e0a-4a00-90d4-43c6fce57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B1503-24A3-4CF8-BE25-E8E6FA944400}">
  <ds:schemaRefs>
    <ds:schemaRef ds:uri="http://purl.org/dc/terms/"/>
    <ds:schemaRef ds:uri="9a47551f-1e0a-4a00-90d4-43c6fce57952"/>
    <ds:schemaRef ds:uri="http://schemas.microsoft.com/office/2006/documentManagement/types"/>
    <ds:schemaRef ds:uri="c1d26237-6719-4486-acf5-b0df687f242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81B6416-0439-4754-847E-F93016F72DB2}">
  <ds:schemaRefs>
    <ds:schemaRef ds:uri="http://schemas.microsoft.com/sharepoint/v3/contenttype/forms"/>
  </ds:schemaRefs>
</ds:datastoreItem>
</file>

<file path=customXml/itemProps3.xml><?xml version="1.0" encoding="utf-8"?>
<ds:datastoreItem xmlns:ds="http://schemas.openxmlformats.org/officeDocument/2006/customXml" ds:itemID="{13BC42F0-B6AD-48D4-82AF-483E5F6D6D4B}"/>
</file>

<file path=docProps/app.xml><?xml version="1.0" encoding="utf-8"?>
<Properties xmlns="http://schemas.openxmlformats.org/officeDocument/2006/extended-properties" xmlns:vt="http://schemas.openxmlformats.org/officeDocument/2006/docPropsVTypes">
  <Template>Normal</Template>
  <TotalTime>67</TotalTime>
  <Application>LibreOffice/24.8.5.2$Linux_X86_64 LibreOffice_project/480$Build-2</Application>
  <AppVersion>15.0000</AppVersion>
  <DocSecurity>2</DocSecurity>
  <Pages>4</Pages>
  <Words>1229</Words>
  <Characters>7541</Characters>
  <CharactersWithSpaces>8784</CharactersWithSpaces>
  <Paragraphs>68</Paragraphs>
  <Company>Glasgow Caledonian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2025-01-24T15:44:00Z</dcterms:created>
  <dc:creator>Smith, Niamh</dc:creator>
  <dc:description/>
  <dc:language>en-GB</dc:language>
  <cp:lastModifiedBy>Junoš Lukan</cp:lastModifiedBy>
  <dcterms:modified xsi:type="dcterms:W3CDTF">2025-03-29T17:51:37Z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0x0101007796FB6622C86B45BD7072CF5403AC1A</vt:lpwstr>
  </property>
  <property fmtid="{D5CDD505-2E9C-101B-9397-08002B2CF9AE}" pid="3" name="GrammarlyDocumentId">
    <vt:lpwstr>cde3f7ae-5db4-4117-a6a3-92003312f217</vt:lpwstr>
  </property>
  <property fmtid="{D5CDD505-2E9C-101B-9397-08002B2CF9AE}" pid="4" name="MediaServiceImageTags">
    <vt:lpwstr/>
  </property>
  <property fmtid="{D5CDD505-2E9C-101B-9397-08002B2CF9AE}" pid="5" name="_MarkAsFinal">
    <vt:bool>1</vt:bool>
  </property>
</Properties>
</file>